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B6D" w14:textId="77777777" w:rsidR="00534A90" w:rsidRDefault="008315F3" w:rsidP="005F2504">
      <w:pPr>
        <w:jc w:val="center"/>
      </w:pPr>
      <w:r>
        <w:rPr>
          <w:noProof/>
        </w:rPr>
        <w:drawing>
          <wp:anchor distT="0" distB="0" distL="114300" distR="114300" simplePos="0" relativeHeight="2" behindDoc="0" locked="0" layoutInCell="0" allowOverlap="1" wp14:anchorId="66EB7DAC" wp14:editId="73410C3E">
            <wp:simplePos x="0" y="0"/>
            <wp:positionH relativeFrom="column">
              <wp:posOffset>0</wp:posOffset>
            </wp:positionH>
            <wp:positionV relativeFrom="paragraph">
              <wp:posOffset>635</wp:posOffset>
            </wp:positionV>
            <wp:extent cx="1732915" cy="1778635"/>
            <wp:effectExtent l="0" t="0" r="0" b="0"/>
            <wp:wrapSquare wrapText="bothSides"/>
            <wp:docPr id="1" name="Picture 1" descr="C:\Users\consult1\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onsult1\Desktop\Capture.PNG"/>
                    <pic:cNvPicPr>
                      <a:picLocks noChangeAspect="1" noChangeArrowheads="1"/>
                    </pic:cNvPicPr>
                  </pic:nvPicPr>
                  <pic:blipFill>
                    <a:blip r:embed="rId7"/>
                    <a:stretch>
                      <a:fillRect/>
                    </a:stretch>
                  </pic:blipFill>
                  <pic:spPr bwMode="auto">
                    <a:xfrm>
                      <a:off x="0" y="0"/>
                      <a:ext cx="1732915" cy="1778635"/>
                    </a:xfrm>
                    <a:prstGeom prst="rect">
                      <a:avLst/>
                    </a:prstGeom>
                    <a:noFill/>
                  </pic:spPr>
                </pic:pic>
              </a:graphicData>
            </a:graphic>
          </wp:anchor>
        </w:drawing>
      </w:r>
      <w:r>
        <w:rPr>
          <w:sz w:val="96"/>
          <w:szCs w:val="96"/>
        </w:rPr>
        <w:t>Paihia Medical</w:t>
      </w:r>
    </w:p>
    <w:p w14:paraId="126CF003" w14:textId="77777777" w:rsidR="00534A90" w:rsidRDefault="008315F3" w:rsidP="005F2504">
      <w:pPr>
        <w:jc w:val="center"/>
      </w:pPr>
      <w:r>
        <w:rPr>
          <w:sz w:val="40"/>
          <w:szCs w:val="40"/>
        </w:rPr>
        <w:t>Repeat Prescribing Policy</w:t>
      </w:r>
    </w:p>
    <w:p w14:paraId="78406DA4" w14:textId="77777777" w:rsidR="00534A90" w:rsidRDefault="00534A90"/>
    <w:p w14:paraId="5ABB2284" w14:textId="77777777" w:rsidR="00534A90" w:rsidRDefault="008315F3" w:rsidP="005F2504">
      <w:pPr>
        <w:spacing w:after="120" w:line="240" w:lineRule="auto"/>
      </w:pPr>
      <w:r>
        <w:rPr>
          <w:rFonts w:ascii="Arial" w:eastAsia="Times New Roman" w:hAnsi="Arial" w:cs="Arial"/>
          <w:b/>
          <w:bCs/>
          <w:color w:val="333333"/>
          <w:sz w:val="24"/>
          <w:szCs w:val="24"/>
          <w:lang w:eastAsia="en-NZ"/>
        </w:rPr>
        <w:t>Purpose/intended outcomes </w:t>
      </w:r>
    </w:p>
    <w:p w14:paraId="6A688939" w14:textId="77777777" w:rsidR="005F2504" w:rsidRDefault="008315F3" w:rsidP="005F2504">
      <w:pPr>
        <w:spacing w:after="120" w:line="240" w:lineRule="auto"/>
        <w:rPr>
          <w:rFonts w:ascii="Arial" w:hAnsi="Arial" w:cs="Arial"/>
          <w:sz w:val="24"/>
          <w:szCs w:val="24"/>
        </w:rPr>
      </w:pPr>
      <w:r>
        <w:rPr>
          <w:rFonts w:ascii="Arial" w:hAnsi="Arial" w:cs="Arial"/>
          <w:sz w:val="24"/>
          <w:szCs w:val="24"/>
        </w:rPr>
        <w:t xml:space="preserve">Paihia Medical is committed to ensuring that the generation of repeat prescriptions in the absence of a medical consultation will be managed in a way that minimises the potential for errors and adverse drug reactions.  </w:t>
      </w:r>
    </w:p>
    <w:p w14:paraId="5827F832" w14:textId="4A564381" w:rsidR="00534A90" w:rsidRDefault="008315F3" w:rsidP="005F2504">
      <w:pPr>
        <w:spacing w:after="120" w:line="240" w:lineRule="auto"/>
      </w:pPr>
      <w:r>
        <w:rPr>
          <w:rFonts w:ascii="Arial" w:eastAsia="Times New Roman" w:hAnsi="Arial" w:cs="Arial"/>
          <w:b/>
          <w:bCs/>
          <w:color w:val="333333"/>
          <w:sz w:val="24"/>
          <w:szCs w:val="24"/>
          <w:lang w:eastAsia="en-NZ"/>
        </w:rPr>
        <w:t>Definitions of terms </w:t>
      </w:r>
      <w:r>
        <w:rPr>
          <w:rFonts w:ascii="Arial" w:hAnsi="Arial" w:cs="Arial"/>
          <w:sz w:val="24"/>
          <w:szCs w:val="24"/>
        </w:rPr>
        <w:t xml:space="preserve"> </w:t>
      </w:r>
    </w:p>
    <w:p w14:paraId="106972A1" w14:textId="77777777" w:rsidR="00534A90" w:rsidRDefault="008315F3" w:rsidP="005F2504">
      <w:pPr>
        <w:spacing w:after="120" w:line="240" w:lineRule="auto"/>
      </w:pPr>
      <w:r>
        <w:rPr>
          <w:rFonts w:ascii="Arial" w:hAnsi="Arial" w:cs="Arial"/>
          <w:i/>
          <w:iCs/>
          <w:sz w:val="24"/>
          <w:szCs w:val="24"/>
        </w:rPr>
        <w:t>Medical Practitioner:</w:t>
      </w:r>
      <w:r>
        <w:rPr>
          <w:rFonts w:ascii="Arial" w:hAnsi="Arial" w:cs="Arial"/>
          <w:sz w:val="24"/>
          <w:szCs w:val="24"/>
        </w:rPr>
        <w:t xml:space="preserve"> can only prescribe a prescription for a patient under his/her care. (MCNZ statement April 2010).  </w:t>
      </w:r>
    </w:p>
    <w:p w14:paraId="385F4382" w14:textId="77777777" w:rsidR="00534A90" w:rsidRDefault="008315F3" w:rsidP="005F2504">
      <w:pPr>
        <w:spacing w:after="120" w:line="240" w:lineRule="auto"/>
      </w:pPr>
      <w:r>
        <w:rPr>
          <w:rFonts w:ascii="Arial" w:hAnsi="Arial" w:cs="Arial"/>
          <w:i/>
          <w:iCs/>
          <w:sz w:val="24"/>
          <w:szCs w:val="24"/>
        </w:rPr>
        <w:t>Designated prescriber nurse:</w:t>
      </w:r>
      <w:r>
        <w:rPr>
          <w:rFonts w:ascii="Arial" w:hAnsi="Arial" w:cs="Arial"/>
          <w:sz w:val="24"/>
          <w:szCs w:val="24"/>
        </w:rPr>
        <w:t xml:space="preserve"> can only prescribe for a patient under his/her care those prescription medicines and controlled drugs specified in regulations that are appropriate to the scope for which the nurse has been granted authority to prescribe</w:t>
      </w:r>
    </w:p>
    <w:p w14:paraId="39ADB4D5" w14:textId="77777777" w:rsidR="00534A90" w:rsidRDefault="008315F3" w:rsidP="005F2504">
      <w:pPr>
        <w:spacing w:after="120" w:line="240" w:lineRule="auto"/>
      </w:pPr>
      <w:r>
        <w:rPr>
          <w:rFonts w:ascii="Arial" w:hAnsi="Arial" w:cs="Arial"/>
          <w:i/>
          <w:iCs/>
          <w:sz w:val="24"/>
          <w:szCs w:val="24"/>
        </w:rPr>
        <w:t>Nurse Practitioner:</w:t>
      </w:r>
      <w:r>
        <w:rPr>
          <w:rFonts w:ascii="Arial" w:hAnsi="Arial" w:cs="Arial"/>
          <w:b/>
          <w:bCs/>
          <w:sz w:val="24"/>
          <w:szCs w:val="24"/>
        </w:rPr>
        <w:t xml:space="preserve"> </w:t>
      </w:r>
      <w:r>
        <w:rPr>
          <w:rFonts w:ascii="Arial" w:hAnsi="Arial" w:cs="Arial"/>
          <w:sz w:val="24"/>
          <w:szCs w:val="24"/>
        </w:rPr>
        <w:t xml:space="preserve">can only prescribe medicines appropriate to their scope of practice for patients under their care. </w:t>
      </w:r>
    </w:p>
    <w:p w14:paraId="2BC66956" w14:textId="77777777" w:rsidR="005F2504" w:rsidRDefault="008315F3" w:rsidP="005F2504">
      <w:pPr>
        <w:spacing w:after="120" w:line="240" w:lineRule="auto"/>
        <w:rPr>
          <w:rFonts w:ascii="Arial" w:hAnsi="Arial" w:cs="Arial"/>
          <w:sz w:val="24"/>
          <w:szCs w:val="24"/>
        </w:rPr>
      </w:pPr>
      <w:r>
        <w:rPr>
          <w:rFonts w:ascii="Arial" w:hAnsi="Arial" w:cs="Arial"/>
          <w:i/>
          <w:iCs/>
          <w:sz w:val="24"/>
          <w:szCs w:val="24"/>
        </w:rPr>
        <w:t xml:space="preserve">“Under their care” </w:t>
      </w:r>
      <w:r>
        <w:rPr>
          <w:rFonts w:ascii="Arial" w:hAnsi="Arial" w:cs="Arial"/>
          <w:sz w:val="24"/>
          <w:szCs w:val="24"/>
        </w:rPr>
        <w:t xml:space="preserve">The Medical Council’s view is that for a patient to be under his or her care, a doctor must have had a face-to-face consultation with the patient or have discussed that specific patient’s treatment with another New Zealand registered health practitioner who can verify physical data and identity.  If you are providing locum cover for an absent colleague or are discharging a patient from hospital it is also permissible to complete a prescription for a patient if you have access to that patient’s notes. </w:t>
      </w:r>
    </w:p>
    <w:p w14:paraId="7316986D" w14:textId="7B5FF852" w:rsidR="00534A90" w:rsidRDefault="008315F3" w:rsidP="005F2504">
      <w:pPr>
        <w:spacing w:after="120" w:line="240" w:lineRule="auto"/>
      </w:pPr>
      <w:r>
        <w:rPr>
          <w:rFonts w:ascii="Arial" w:eastAsia="Times New Roman" w:hAnsi="Arial" w:cs="Arial"/>
          <w:b/>
          <w:bCs/>
          <w:color w:val="333333"/>
          <w:sz w:val="24"/>
          <w:szCs w:val="24"/>
          <w:lang w:eastAsia="en-NZ"/>
        </w:rPr>
        <w:t>Processes and procedures </w:t>
      </w:r>
    </w:p>
    <w:p w14:paraId="44E287A8" w14:textId="77777777" w:rsidR="00534A90" w:rsidRDefault="008315F3" w:rsidP="005F2504">
      <w:pPr>
        <w:spacing w:after="120" w:line="240" w:lineRule="auto"/>
      </w:pPr>
      <w:r>
        <w:rPr>
          <w:rFonts w:ascii="Arial" w:hAnsi="Arial" w:cs="Arial"/>
          <w:sz w:val="24"/>
          <w:szCs w:val="24"/>
        </w:rPr>
        <w:t xml:space="preserve">Requests for repeat prescriptions may come from the patient via Manage My Health or a phone call.  If a patient phones/ presents at reception for a prescription, the receptionist should add the person to the prescription list for their GP or a colleague in their team. Reception should inform the patient of the likely time frame and cost for the prescription to be completed. The patient should also be informed that the GP will review the request and if they need to come </w:t>
      </w:r>
      <w:proofErr w:type="gramStart"/>
      <w:r>
        <w:rPr>
          <w:rFonts w:ascii="Arial" w:hAnsi="Arial" w:cs="Arial"/>
          <w:sz w:val="24"/>
          <w:szCs w:val="24"/>
        </w:rPr>
        <w:t>in</w:t>
      </w:r>
      <w:proofErr w:type="gramEnd"/>
      <w:r>
        <w:rPr>
          <w:rFonts w:ascii="Arial" w:hAnsi="Arial" w:cs="Arial"/>
          <w:sz w:val="24"/>
          <w:szCs w:val="24"/>
        </w:rPr>
        <w:t xml:space="preserve"> we will call them back.</w:t>
      </w:r>
    </w:p>
    <w:p w14:paraId="417B0DD3" w14:textId="77777777" w:rsidR="00534A90" w:rsidRDefault="008315F3" w:rsidP="005F2504">
      <w:pPr>
        <w:spacing w:after="120" w:line="240" w:lineRule="auto"/>
      </w:pPr>
      <w:r>
        <w:rPr>
          <w:rFonts w:ascii="Arial" w:hAnsi="Arial" w:cs="Arial"/>
          <w:sz w:val="24"/>
          <w:szCs w:val="24"/>
        </w:rPr>
        <w:t xml:space="preserve">The following information is to be collected when a repeat prescription is requested </w:t>
      </w:r>
    </w:p>
    <w:p w14:paraId="28CE30AB" w14:textId="77777777" w:rsidR="00534A90" w:rsidRDefault="008315F3" w:rsidP="005F2504">
      <w:pPr>
        <w:pStyle w:val="ListParagraph"/>
        <w:numPr>
          <w:ilvl w:val="1"/>
          <w:numId w:val="1"/>
        </w:numPr>
        <w:spacing w:after="120"/>
      </w:pPr>
      <w:r>
        <w:rPr>
          <w:rFonts w:cs="Arial"/>
          <w:sz w:val="24"/>
        </w:rPr>
        <w:t>Name of patient</w:t>
      </w:r>
    </w:p>
    <w:p w14:paraId="092DE1DF" w14:textId="77777777" w:rsidR="00534A90" w:rsidRDefault="008315F3" w:rsidP="005F2504">
      <w:pPr>
        <w:pStyle w:val="ListParagraph"/>
        <w:numPr>
          <w:ilvl w:val="1"/>
          <w:numId w:val="1"/>
        </w:numPr>
        <w:spacing w:after="120"/>
      </w:pPr>
      <w:r>
        <w:rPr>
          <w:rFonts w:cs="Arial"/>
          <w:sz w:val="24"/>
        </w:rPr>
        <w:t>Name of required medications</w:t>
      </w:r>
    </w:p>
    <w:p w14:paraId="403EE202" w14:textId="77777777" w:rsidR="00534A90" w:rsidRDefault="008315F3" w:rsidP="005F2504">
      <w:pPr>
        <w:pStyle w:val="ListParagraph"/>
        <w:numPr>
          <w:ilvl w:val="1"/>
          <w:numId w:val="1"/>
        </w:numPr>
        <w:spacing w:after="120"/>
      </w:pPr>
      <w:r>
        <w:rPr>
          <w:rFonts w:cs="Arial"/>
          <w:sz w:val="24"/>
        </w:rPr>
        <w:t>Check the degree of urgency</w:t>
      </w:r>
    </w:p>
    <w:p w14:paraId="477130D5" w14:textId="77777777" w:rsidR="00534A90" w:rsidRDefault="008315F3" w:rsidP="005F2504">
      <w:pPr>
        <w:pStyle w:val="ListParagraph"/>
        <w:numPr>
          <w:ilvl w:val="1"/>
          <w:numId w:val="1"/>
        </w:numPr>
        <w:spacing w:after="120"/>
      </w:pPr>
      <w:r>
        <w:rPr>
          <w:rFonts w:cs="Arial"/>
          <w:sz w:val="24"/>
        </w:rPr>
        <w:t>Which pharmacy the prescription should be sent to</w:t>
      </w:r>
    </w:p>
    <w:p w14:paraId="5C6B2781" w14:textId="1F2AE8E1" w:rsidR="00534A90" w:rsidRDefault="008315F3" w:rsidP="005F2504">
      <w:pPr>
        <w:spacing w:after="120" w:line="240" w:lineRule="auto"/>
      </w:pPr>
      <w:r>
        <w:rPr>
          <w:rFonts w:ascii="Arial" w:hAnsi="Arial" w:cs="Arial"/>
          <w:sz w:val="24"/>
          <w:szCs w:val="24"/>
        </w:rPr>
        <w:t xml:space="preserve">The GP will check their prescription book and process the prescription. If they patient needs to come in for review, they will annotate with TCI and reception will contact the patient to come in for an appointment. The GP will send the prescription electronically to the nominated </w:t>
      </w:r>
      <w:r w:rsidR="00FC4731">
        <w:rPr>
          <w:rFonts w:ascii="Arial" w:hAnsi="Arial" w:cs="Arial"/>
          <w:sz w:val="24"/>
          <w:szCs w:val="24"/>
        </w:rPr>
        <w:t>pharmacy and</w:t>
      </w:r>
      <w:r>
        <w:rPr>
          <w:rFonts w:ascii="Arial" w:hAnsi="Arial" w:cs="Arial"/>
          <w:sz w:val="24"/>
          <w:szCs w:val="24"/>
        </w:rPr>
        <w:t xml:space="preserve"> then annotate the prescription book with ‘done’. Reception will then complete invoicing.</w:t>
      </w:r>
    </w:p>
    <w:p w14:paraId="15D76EAF" w14:textId="77777777" w:rsidR="00534A90" w:rsidRDefault="008315F3" w:rsidP="005F2504">
      <w:pPr>
        <w:spacing w:after="120" w:line="240" w:lineRule="auto"/>
      </w:pPr>
      <w:r>
        <w:rPr>
          <w:rFonts w:ascii="Arial" w:hAnsi="Arial" w:cs="Arial"/>
          <w:sz w:val="24"/>
          <w:szCs w:val="24"/>
        </w:rPr>
        <w:lastRenderedPageBreak/>
        <w:t>The GP will use their discretion to decide if a repeat prescription will be issued. The general principles to consider are:</w:t>
      </w:r>
    </w:p>
    <w:p w14:paraId="04BDFBDB" w14:textId="7BFD9E14" w:rsidR="00534A90" w:rsidRDefault="008315F3" w:rsidP="005F2504">
      <w:pPr>
        <w:pStyle w:val="ListParagraph"/>
        <w:numPr>
          <w:ilvl w:val="0"/>
          <w:numId w:val="2"/>
        </w:numPr>
        <w:spacing w:after="120"/>
      </w:pPr>
      <w:r>
        <w:rPr>
          <w:rFonts w:cs="Arial"/>
          <w:sz w:val="24"/>
        </w:rPr>
        <w:t xml:space="preserve">The patient should have a </w:t>
      </w:r>
      <w:r w:rsidR="005F2504">
        <w:rPr>
          <w:rFonts w:cs="Arial"/>
          <w:sz w:val="24"/>
        </w:rPr>
        <w:t>face-to-face</w:t>
      </w:r>
      <w:r>
        <w:rPr>
          <w:rFonts w:cs="Arial"/>
          <w:sz w:val="24"/>
        </w:rPr>
        <w:t xml:space="preserve"> appointment with a doctor at least once a year. Some patients will require more frequent in person reviews, which is at the discretion of the GP.</w:t>
      </w:r>
    </w:p>
    <w:p w14:paraId="0773B097" w14:textId="77777777" w:rsidR="00534A90" w:rsidRDefault="008315F3" w:rsidP="005F2504">
      <w:pPr>
        <w:pStyle w:val="ListParagraph"/>
        <w:numPr>
          <w:ilvl w:val="0"/>
          <w:numId w:val="2"/>
        </w:numPr>
        <w:spacing w:after="120"/>
      </w:pPr>
      <w:r>
        <w:rPr>
          <w:rFonts w:cs="Arial"/>
          <w:sz w:val="24"/>
        </w:rPr>
        <w:t>If it is the first request for a repeat prescription for a particular medication, a phone or face to face appointment may be required to review efficacy of the medication.</w:t>
      </w:r>
    </w:p>
    <w:p w14:paraId="7C4A54E3" w14:textId="77777777" w:rsidR="00534A90" w:rsidRDefault="008315F3" w:rsidP="005F2504">
      <w:pPr>
        <w:pStyle w:val="ListParagraph"/>
        <w:numPr>
          <w:ilvl w:val="0"/>
          <w:numId w:val="2"/>
        </w:numPr>
        <w:spacing w:after="120"/>
      </w:pPr>
      <w:r>
        <w:rPr>
          <w:rFonts w:cs="Arial"/>
          <w:sz w:val="24"/>
        </w:rPr>
        <w:t>If the medication has not been prescribed for 6 months or more a review may be required</w:t>
      </w:r>
    </w:p>
    <w:p w14:paraId="4AA785F8" w14:textId="77777777" w:rsidR="00534A90" w:rsidRDefault="008315F3" w:rsidP="005F2504">
      <w:pPr>
        <w:pStyle w:val="ListParagraph"/>
        <w:numPr>
          <w:ilvl w:val="0"/>
          <w:numId w:val="2"/>
        </w:numPr>
        <w:spacing w:after="120"/>
      </w:pPr>
      <w:r>
        <w:rPr>
          <w:rFonts w:cs="Arial"/>
          <w:sz w:val="24"/>
        </w:rPr>
        <w:t>Requests for antibiotics and prednisone will likely require review.</w:t>
      </w:r>
    </w:p>
    <w:p w14:paraId="17CB5E87" w14:textId="77777777" w:rsidR="00534A90" w:rsidRDefault="008315F3" w:rsidP="005F2504">
      <w:pPr>
        <w:pStyle w:val="ListParagraph"/>
        <w:numPr>
          <w:ilvl w:val="0"/>
          <w:numId w:val="2"/>
        </w:numPr>
        <w:spacing w:after="120"/>
      </w:pPr>
      <w:r>
        <w:rPr>
          <w:rFonts w:cs="Arial"/>
          <w:sz w:val="24"/>
        </w:rPr>
        <w:t>The more medications a patient is on, the sooner they will require review. Most patients only on one medication are fine to be seen annually, but when they are on 5 or more medications, it may be more appropriate to see them every 6 months</w:t>
      </w:r>
    </w:p>
    <w:p w14:paraId="6FF615F1" w14:textId="77777777" w:rsidR="00534A90" w:rsidRDefault="008315F3" w:rsidP="005F2504">
      <w:pPr>
        <w:pStyle w:val="ListParagraph"/>
        <w:numPr>
          <w:ilvl w:val="0"/>
          <w:numId w:val="2"/>
        </w:numPr>
        <w:spacing w:after="120"/>
      </w:pPr>
      <w:r>
        <w:rPr>
          <w:rFonts w:cs="Arial"/>
          <w:sz w:val="24"/>
        </w:rPr>
        <w:t>Patients whose medical conditions are unstable will need more regular review</w:t>
      </w:r>
    </w:p>
    <w:p w14:paraId="4EB4A188" w14:textId="77777777" w:rsidR="00534A90" w:rsidRDefault="008315F3" w:rsidP="005F2504">
      <w:pPr>
        <w:pStyle w:val="ListParagraph"/>
        <w:numPr>
          <w:ilvl w:val="0"/>
          <w:numId w:val="2"/>
        </w:numPr>
        <w:spacing w:after="120"/>
      </w:pPr>
      <w:r>
        <w:rPr>
          <w:rFonts w:cs="Arial"/>
          <w:sz w:val="24"/>
        </w:rPr>
        <w:t>Patients on medications with potential serious side effects will need more frequent review.</w:t>
      </w:r>
    </w:p>
    <w:p w14:paraId="02A5B64D" w14:textId="77777777" w:rsidR="00534A90" w:rsidRDefault="008315F3" w:rsidP="005F2504">
      <w:pPr>
        <w:spacing w:after="120" w:line="240" w:lineRule="auto"/>
      </w:pPr>
      <w:r>
        <w:rPr>
          <w:rFonts w:ascii="Arial" w:hAnsi="Arial" w:cs="Arial"/>
          <w:sz w:val="24"/>
          <w:szCs w:val="24"/>
        </w:rPr>
        <w:t>E-prescribing is used for prescriptions. In the event of a power outage, paper prescriptions can be handwritten. A record should be documented so it can be entered into the patients notes when power is restored.</w:t>
      </w:r>
    </w:p>
    <w:p w14:paraId="2A4F5DEC" w14:textId="77777777" w:rsidR="00534A90" w:rsidRDefault="008315F3" w:rsidP="005F2504">
      <w:pPr>
        <w:spacing w:after="120" w:line="240" w:lineRule="auto"/>
      </w:pPr>
      <w:r>
        <w:rPr>
          <w:rFonts w:ascii="Arial" w:hAnsi="Arial" w:cs="Arial"/>
          <w:sz w:val="24"/>
          <w:szCs w:val="24"/>
        </w:rPr>
        <w:t>Medications that are dispensed from the MPSO should be entered into the patients record and have the ‘administered in clinic’ box ticked.</w:t>
      </w:r>
    </w:p>
    <w:p w14:paraId="41D2F82F" w14:textId="635E93DD" w:rsidR="00534A90" w:rsidRDefault="008315F3" w:rsidP="005F2504">
      <w:pPr>
        <w:spacing w:after="120" w:line="240" w:lineRule="auto"/>
        <w:rPr>
          <w:rFonts w:ascii="Arial" w:hAnsi="Arial" w:cs="Arial"/>
          <w:sz w:val="24"/>
          <w:szCs w:val="24"/>
        </w:rPr>
      </w:pPr>
      <w:r>
        <w:rPr>
          <w:rFonts w:ascii="Arial" w:hAnsi="Arial" w:cs="Arial"/>
          <w:sz w:val="24"/>
          <w:szCs w:val="24"/>
        </w:rPr>
        <w:t xml:space="preserve">The practice will conduct an annual audit on repeat prescribing with an equity lens, to ensure the policy </w:t>
      </w:r>
      <w:r w:rsidR="005F2504">
        <w:rPr>
          <w:rFonts w:ascii="Arial" w:hAnsi="Arial" w:cs="Arial"/>
          <w:sz w:val="24"/>
          <w:szCs w:val="24"/>
        </w:rPr>
        <w:t>has been</w:t>
      </w:r>
      <w:r>
        <w:rPr>
          <w:rFonts w:ascii="Arial" w:hAnsi="Arial" w:cs="Arial"/>
          <w:sz w:val="24"/>
          <w:szCs w:val="24"/>
        </w:rPr>
        <w:t xml:space="preserve"> adhered to. The results of the audit will be discussed at the clinical governance meeting.</w:t>
      </w:r>
    </w:p>
    <w:p w14:paraId="5587FE90" w14:textId="69F64BBD" w:rsidR="00534A90" w:rsidRPr="00027D91" w:rsidRDefault="008315F3" w:rsidP="005F2504">
      <w:pPr>
        <w:spacing w:after="120" w:line="240" w:lineRule="auto"/>
        <w:rPr>
          <w:rFonts w:ascii="Arial" w:eastAsia="Times New Roman" w:hAnsi="Arial" w:cs="Arial"/>
          <w:b/>
          <w:bCs/>
          <w:i/>
          <w:iCs/>
          <w:color w:val="000000" w:themeColor="text1"/>
          <w:sz w:val="24"/>
          <w:szCs w:val="24"/>
          <w:lang w:eastAsia="en-NZ"/>
        </w:rPr>
      </w:pPr>
      <w:r w:rsidRPr="00027D91">
        <w:rPr>
          <w:rFonts w:ascii="Arial" w:eastAsia="Times New Roman" w:hAnsi="Arial" w:cs="Arial"/>
          <w:b/>
          <w:bCs/>
          <w:i/>
          <w:iCs/>
          <w:color w:val="000000" w:themeColor="text1"/>
          <w:sz w:val="24"/>
          <w:szCs w:val="24"/>
          <w:lang w:eastAsia="en-NZ"/>
        </w:rPr>
        <w:t xml:space="preserve">Twelve-month </w:t>
      </w:r>
      <w:r w:rsidR="00027D91">
        <w:rPr>
          <w:rFonts w:ascii="Arial" w:eastAsia="Times New Roman" w:hAnsi="Arial" w:cs="Arial"/>
          <w:b/>
          <w:bCs/>
          <w:i/>
          <w:iCs/>
          <w:color w:val="000000" w:themeColor="text1"/>
          <w:sz w:val="24"/>
          <w:szCs w:val="24"/>
          <w:lang w:eastAsia="en-NZ"/>
        </w:rPr>
        <w:t>P</w:t>
      </w:r>
      <w:r w:rsidRPr="00027D91">
        <w:rPr>
          <w:rFonts w:ascii="Arial" w:eastAsia="Times New Roman" w:hAnsi="Arial" w:cs="Arial"/>
          <w:b/>
          <w:bCs/>
          <w:i/>
          <w:iCs/>
          <w:color w:val="000000" w:themeColor="text1"/>
          <w:sz w:val="24"/>
          <w:szCs w:val="24"/>
          <w:lang w:eastAsia="en-NZ"/>
        </w:rPr>
        <w:t xml:space="preserve">rescribing </w:t>
      </w:r>
    </w:p>
    <w:p w14:paraId="5D3DABD5" w14:textId="76A08874"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xml:space="preserve">From early 2026 prescribers will be able to prescribe medications for a maximum of 12 months. This is a significant change from the current maximum of 3 months. While this will reduce some barriers to care, it will reduce the frequency with which a patients file is </w:t>
      </w:r>
      <w:proofErr w:type="gramStart"/>
      <w:r w:rsidRPr="005F2504">
        <w:rPr>
          <w:rFonts w:ascii="Arial" w:eastAsia="Times New Roman" w:hAnsi="Arial" w:cs="Arial"/>
          <w:color w:val="000000" w:themeColor="text1"/>
          <w:sz w:val="24"/>
          <w:szCs w:val="24"/>
          <w:lang w:eastAsia="en-NZ"/>
        </w:rPr>
        <w:t>reviewed, and</w:t>
      </w:r>
      <w:proofErr w:type="gramEnd"/>
      <w:r w:rsidRPr="005F2504">
        <w:rPr>
          <w:rFonts w:ascii="Arial" w:eastAsia="Times New Roman" w:hAnsi="Arial" w:cs="Arial"/>
          <w:color w:val="000000" w:themeColor="text1"/>
          <w:sz w:val="24"/>
          <w:szCs w:val="24"/>
          <w:lang w:eastAsia="en-NZ"/>
        </w:rPr>
        <w:t xml:space="preserve"> will miss opportunities for early intervention. The </w:t>
      </w:r>
      <w:r w:rsidR="005F2504" w:rsidRPr="005F2504">
        <w:rPr>
          <w:rFonts w:ascii="Arial" w:eastAsia="Times New Roman" w:hAnsi="Arial" w:cs="Arial"/>
          <w:color w:val="000000" w:themeColor="text1"/>
          <w:sz w:val="24"/>
          <w:szCs w:val="24"/>
          <w:lang w:eastAsia="en-NZ"/>
        </w:rPr>
        <w:t>patients’</w:t>
      </w:r>
      <w:r w:rsidRPr="005F2504">
        <w:rPr>
          <w:rFonts w:ascii="Arial" w:eastAsia="Times New Roman" w:hAnsi="Arial" w:cs="Arial"/>
          <w:color w:val="000000" w:themeColor="text1"/>
          <w:sz w:val="24"/>
          <w:szCs w:val="24"/>
          <w:lang w:eastAsia="en-NZ"/>
        </w:rPr>
        <w:t xml:space="preserve"> risk and complexity must be considered, as a lot can change in a year. Alternative prescription lengths such as six months may be considered.  Safety needs to be the paramount consideration when contemplating length of prescription. The general principles above will still apply. A </w:t>
      </w:r>
      <w:r w:rsidR="005F2504" w:rsidRPr="005F2504">
        <w:rPr>
          <w:rFonts w:ascii="Arial" w:eastAsia="Times New Roman" w:hAnsi="Arial" w:cs="Arial"/>
          <w:color w:val="000000" w:themeColor="text1"/>
          <w:sz w:val="24"/>
          <w:szCs w:val="24"/>
          <w:lang w:eastAsia="en-NZ"/>
        </w:rPr>
        <w:t>12-month</w:t>
      </w:r>
      <w:r w:rsidRPr="005F2504">
        <w:rPr>
          <w:rFonts w:ascii="Arial" w:eastAsia="Times New Roman" w:hAnsi="Arial" w:cs="Arial"/>
          <w:color w:val="000000" w:themeColor="text1"/>
          <w:sz w:val="24"/>
          <w:szCs w:val="24"/>
          <w:lang w:eastAsia="en-NZ"/>
        </w:rPr>
        <w:t xml:space="preserve"> prescription can only be generated at a </w:t>
      </w:r>
      <w:r w:rsidR="005F2504" w:rsidRPr="005F2504">
        <w:rPr>
          <w:rFonts w:ascii="Arial" w:eastAsia="Times New Roman" w:hAnsi="Arial" w:cs="Arial"/>
          <w:color w:val="000000" w:themeColor="text1"/>
          <w:sz w:val="24"/>
          <w:szCs w:val="24"/>
          <w:lang w:eastAsia="en-NZ"/>
        </w:rPr>
        <w:t>face-to-face</w:t>
      </w:r>
      <w:r w:rsidRPr="005F2504">
        <w:rPr>
          <w:rFonts w:ascii="Arial" w:eastAsia="Times New Roman" w:hAnsi="Arial" w:cs="Arial"/>
          <w:color w:val="000000" w:themeColor="text1"/>
          <w:sz w:val="24"/>
          <w:szCs w:val="24"/>
          <w:lang w:eastAsia="en-NZ"/>
        </w:rPr>
        <w:t xml:space="preserve"> appointment (to </w:t>
      </w:r>
      <w:r w:rsidR="005F2504" w:rsidRPr="005F2504">
        <w:rPr>
          <w:rFonts w:ascii="Arial" w:eastAsia="Times New Roman" w:hAnsi="Arial" w:cs="Arial"/>
          <w:color w:val="000000" w:themeColor="text1"/>
          <w:sz w:val="24"/>
          <w:szCs w:val="24"/>
          <w:lang w:eastAsia="en-NZ"/>
        </w:rPr>
        <w:t>fulfil</w:t>
      </w:r>
      <w:r w:rsidRPr="005F2504">
        <w:rPr>
          <w:rFonts w:ascii="Arial" w:eastAsia="Times New Roman" w:hAnsi="Arial" w:cs="Arial"/>
          <w:color w:val="000000" w:themeColor="text1"/>
          <w:sz w:val="24"/>
          <w:szCs w:val="24"/>
          <w:lang w:eastAsia="en-NZ"/>
        </w:rPr>
        <w:t xml:space="preserve"> the principle that a patient must be seen at least once a year). This will be at the </w:t>
      </w:r>
      <w:r w:rsidR="005F2504" w:rsidRPr="005F2504">
        <w:rPr>
          <w:rFonts w:ascii="Arial" w:eastAsia="Times New Roman" w:hAnsi="Arial" w:cs="Arial"/>
          <w:color w:val="000000" w:themeColor="text1"/>
          <w:sz w:val="24"/>
          <w:szCs w:val="24"/>
          <w:lang w:eastAsia="en-NZ"/>
        </w:rPr>
        <w:t>prescriber’s</w:t>
      </w:r>
      <w:r w:rsidRPr="005F2504">
        <w:rPr>
          <w:rFonts w:ascii="Arial" w:eastAsia="Times New Roman" w:hAnsi="Arial" w:cs="Arial"/>
          <w:color w:val="000000" w:themeColor="text1"/>
          <w:sz w:val="24"/>
          <w:szCs w:val="24"/>
          <w:lang w:eastAsia="en-NZ"/>
        </w:rPr>
        <w:t xml:space="preserve"> discretion, and prescribers should not feel pressured by patients to prescribe for longer than they are comfortable with. </w:t>
      </w:r>
    </w:p>
    <w:p w14:paraId="21F5FC32" w14:textId="357C6CFF" w:rsidR="00534A90" w:rsidRPr="005F2504" w:rsidRDefault="005F2504"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12-month</w:t>
      </w:r>
      <w:r w:rsidR="008315F3" w:rsidRPr="005F2504">
        <w:rPr>
          <w:rFonts w:ascii="Arial" w:eastAsia="Times New Roman" w:hAnsi="Arial" w:cs="Arial"/>
          <w:color w:val="000000" w:themeColor="text1"/>
          <w:sz w:val="24"/>
          <w:szCs w:val="24"/>
          <w:lang w:eastAsia="en-NZ"/>
        </w:rPr>
        <w:t xml:space="preserve"> scripts are unlikely to be appropriate for:</w:t>
      </w:r>
    </w:p>
    <w:p w14:paraId="74D8E0A1"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infants, children and adolescents</w:t>
      </w:r>
    </w:p>
    <w:p w14:paraId="3F2E71DB"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pregnant patients</w:t>
      </w:r>
    </w:p>
    <w:p w14:paraId="73D2B1A7"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older adults (65+)</w:t>
      </w:r>
    </w:p>
    <w:p w14:paraId="74F63E5D"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People with multiple conditions or multiple medications (&gt;3 medications)</w:t>
      </w:r>
    </w:p>
    <w:p w14:paraId="25C368CD"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conditions or medications that require frequent blood tests</w:t>
      </w:r>
    </w:p>
    <w:p w14:paraId="5498536B"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medications that need frequent dose adjustment</w:t>
      </w:r>
    </w:p>
    <w:p w14:paraId="72C50CA1" w14:textId="77777777" w:rsidR="00534A90" w:rsidRPr="005F2504" w:rsidRDefault="008315F3" w:rsidP="005F2504">
      <w:pPr>
        <w:spacing w:after="120" w:line="240" w:lineRule="auto"/>
        <w:rPr>
          <w:rFonts w:ascii="Arial" w:eastAsia="Times New Roman" w:hAnsi="Arial" w:cs="Arial"/>
          <w:color w:val="000000" w:themeColor="text1"/>
          <w:sz w:val="24"/>
          <w:szCs w:val="24"/>
          <w:lang w:eastAsia="en-NZ"/>
        </w:rPr>
      </w:pPr>
      <w:r w:rsidRPr="005F2504">
        <w:rPr>
          <w:rFonts w:ascii="Arial" w:eastAsia="Times New Roman" w:hAnsi="Arial" w:cs="Arial"/>
          <w:color w:val="000000" w:themeColor="text1"/>
          <w:sz w:val="24"/>
          <w:szCs w:val="24"/>
          <w:lang w:eastAsia="en-NZ"/>
        </w:rPr>
        <w:t>- people with poor adherence or memory issues</w:t>
      </w:r>
    </w:p>
    <w:p w14:paraId="5BD92DC8" w14:textId="77777777" w:rsidR="005F2504" w:rsidRDefault="008315F3" w:rsidP="005F2504">
      <w:pPr>
        <w:spacing w:after="120" w:line="240" w:lineRule="auto"/>
        <w:rPr>
          <w:rFonts w:ascii="Arial" w:eastAsia="Times New Roman" w:hAnsi="Arial" w:cs="Arial"/>
          <w:color w:val="333333"/>
          <w:sz w:val="24"/>
          <w:szCs w:val="24"/>
          <w:lang w:eastAsia="en-NZ"/>
        </w:rPr>
      </w:pPr>
      <w:r w:rsidRPr="005F2504">
        <w:rPr>
          <w:rFonts w:ascii="Arial" w:eastAsia="Times New Roman" w:hAnsi="Arial" w:cs="Arial"/>
          <w:color w:val="000000" w:themeColor="text1"/>
          <w:sz w:val="24"/>
          <w:szCs w:val="24"/>
          <w:lang w:eastAsia="en-NZ"/>
        </w:rPr>
        <w:lastRenderedPageBreak/>
        <w:t>- initiation of medication – they will need shorter review interval until they are stabilised</w:t>
      </w:r>
    </w:p>
    <w:p w14:paraId="0438AC96" w14:textId="52D1F60D" w:rsidR="00534A90" w:rsidRDefault="008315F3" w:rsidP="005F2504">
      <w:pPr>
        <w:spacing w:after="120" w:line="240" w:lineRule="auto"/>
      </w:pPr>
      <w:r>
        <w:rPr>
          <w:rFonts w:ascii="Arial" w:eastAsia="Times New Roman" w:hAnsi="Arial" w:cs="Arial"/>
          <w:b/>
          <w:bCs/>
          <w:color w:val="333333"/>
          <w:sz w:val="24"/>
          <w:szCs w:val="24"/>
          <w:lang w:eastAsia="en-NZ"/>
        </w:rPr>
        <w:t>Key relevant documents </w:t>
      </w:r>
    </w:p>
    <w:p w14:paraId="0D41B3F0" w14:textId="77777777" w:rsidR="00534A90" w:rsidRDefault="008315F3" w:rsidP="005F2504">
      <w:pPr>
        <w:pStyle w:val="ListParagraph"/>
        <w:numPr>
          <w:ilvl w:val="0"/>
          <w:numId w:val="4"/>
        </w:numPr>
        <w:spacing w:after="120"/>
      </w:pPr>
      <w:r w:rsidRPr="005F2504">
        <w:rPr>
          <w:rFonts w:cs="Arial"/>
          <w:iCs/>
          <w:sz w:val="24"/>
        </w:rPr>
        <w:t>Medicines Act 1981</w:t>
      </w:r>
    </w:p>
    <w:p w14:paraId="2CA0AF91" w14:textId="77777777" w:rsidR="00534A90" w:rsidRDefault="008315F3" w:rsidP="005F2504">
      <w:pPr>
        <w:pStyle w:val="ListParagraph"/>
        <w:numPr>
          <w:ilvl w:val="0"/>
          <w:numId w:val="4"/>
        </w:numPr>
        <w:spacing w:after="120"/>
      </w:pPr>
      <w:r w:rsidRPr="005F2504">
        <w:rPr>
          <w:rFonts w:cs="Arial"/>
          <w:iCs/>
          <w:sz w:val="24"/>
        </w:rPr>
        <w:t>Medicines Regulations 1984</w:t>
      </w:r>
    </w:p>
    <w:p w14:paraId="2B7C1C0D" w14:textId="77777777" w:rsidR="00534A90" w:rsidRDefault="008315F3" w:rsidP="005F2504">
      <w:pPr>
        <w:pStyle w:val="ListParagraph"/>
        <w:numPr>
          <w:ilvl w:val="0"/>
          <w:numId w:val="4"/>
        </w:numPr>
        <w:spacing w:after="120"/>
      </w:pPr>
      <w:r w:rsidRPr="005F2504">
        <w:rPr>
          <w:rFonts w:cs="Arial"/>
          <w:iCs/>
          <w:sz w:val="24"/>
        </w:rPr>
        <w:t>Medicines Amendment Regulations 2011</w:t>
      </w:r>
    </w:p>
    <w:p w14:paraId="534CF869" w14:textId="77777777" w:rsidR="00534A90" w:rsidRDefault="008315F3" w:rsidP="005F2504">
      <w:pPr>
        <w:pStyle w:val="ListParagraph"/>
        <w:numPr>
          <w:ilvl w:val="0"/>
          <w:numId w:val="4"/>
        </w:numPr>
        <w:spacing w:after="120"/>
      </w:pPr>
      <w:r w:rsidRPr="005F2504">
        <w:rPr>
          <w:rFonts w:cs="Arial"/>
          <w:iCs/>
          <w:sz w:val="24"/>
        </w:rPr>
        <w:t>Misuse of Medicines Regulations 1977</w:t>
      </w:r>
    </w:p>
    <w:p w14:paraId="4AE2BE3E" w14:textId="77777777" w:rsidR="00534A90" w:rsidRDefault="008315F3" w:rsidP="005F2504">
      <w:pPr>
        <w:pStyle w:val="ListParagraph"/>
        <w:numPr>
          <w:ilvl w:val="0"/>
          <w:numId w:val="4"/>
        </w:numPr>
        <w:spacing w:after="120"/>
      </w:pPr>
      <w:r w:rsidRPr="005F2504">
        <w:rPr>
          <w:rFonts w:cs="Arial"/>
          <w:iCs/>
          <w:sz w:val="24"/>
        </w:rPr>
        <w:t>Medical Council of New Zealand – Good Prescribing Practice</w:t>
      </w:r>
    </w:p>
    <w:p w14:paraId="77A93227" w14:textId="77777777" w:rsidR="00534A90" w:rsidRPr="005F2504" w:rsidRDefault="008315F3" w:rsidP="005F2504">
      <w:pPr>
        <w:pStyle w:val="ListParagraph"/>
        <w:numPr>
          <w:ilvl w:val="0"/>
          <w:numId w:val="4"/>
        </w:numPr>
        <w:spacing w:after="120"/>
        <w:rPr>
          <w:rFonts w:cs="Arial"/>
          <w:iCs/>
          <w:color w:val="333333"/>
          <w:sz w:val="24"/>
          <w:lang w:eastAsia="en-NZ"/>
        </w:rPr>
      </w:pPr>
      <w:r w:rsidRPr="005F2504">
        <w:rPr>
          <w:rFonts w:cs="Arial"/>
          <w:iCs/>
          <w:color w:val="333333"/>
          <w:sz w:val="24"/>
          <w:lang w:eastAsia="en-NZ"/>
        </w:rPr>
        <w:t>Controlled drugs policy</w:t>
      </w:r>
    </w:p>
    <w:p w14:paraId="30F5F602" w14:textId="77777777" w:rsidR="00534A90" w:rsidRPr="005F2504" w:rsidRDefault="008315F3" w:rsidP="005F2504">
      <w:pPr>
        <w:pStyle w:val="ListParagraph"/>
        <w:numPr>
          <w:ilvl w:val="0"/>
          <w:numId w:val="4"/>
        </w:numPr>
        <w:spacing w:after="120"/>
        <w:rPr>
          <w:rFonts w:cs="Arial"/>
          <w:iCs/>
          <w:color w:val="333333"/>
          <w:sz w:val="24"/>
          <w:lang w:eastAsia="en-NZ"/>
        </w:rPr>
      </w:pPr>
      <w:r w:rsidRPr="005F2504">
        <w:rPr>
          <w:rFonts w:cs="Arial"/>
          <w:iCs/>
          <w:color w:val="333333"/>
          <w:sz w:val="24"/>
          <w:lang w:eastAsia="en-NZ"/>
        </w:rPr>
        <w:t xml:space="preserve">12 </w:t>
      </w:r>
      <w:proofErr w:type="gramStart"/>
      <w:r w:rsidRPr="005F2504">
        <w:rPr>
          <w:rFonts w:cs="Arial"/>
          <w:iCs/>
          <w:color w:val="333333"/>
          <w:sz w:val="24"/>
          <w:lang w:eastAsia="en-NZ"/>
        </w:rPr>
        <w:t>month</w:t>
      </w:r>
      <w:proofErr w:type="gramEnd"/>
      <w:r w:rsidRPr="005F2504">
        <w:rPr>
          <w:rFonts w:cs="Arial"/>
          <w:iCs/>
          <w:color w:val="333333"/>
          <w:sz w:val="24"/>
          <w:lang w:eastAsia="en-NZ"/>
        </w:rPr>
        <w:t xml:space="preserve"> prescribing in General practice – RNZCGP position statement</w:t>
      </w:r>
    </w:p>
    <w:sectPr w:rsidR="00534A90" w:rsidRPr="005F2504">
      <w:footerReference w:type="even" r:id="rId8"/>
      <w:footerReference w:type="default" r:id="rId9"/>
      <w:footerReference w:type="first" r:id="rId10"/>
      <w:pgSz w:w="11906" w:h="16838"/>
      <w:pgMar w:top="720" w:right="720" w:bottom="765" w:left="72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186B" w14:textId="77777777" w:rsidR="00F35C4C" w:rsidRDefault="00F35C4C">
      <w:pPr>
        <w:spacing w:after="0" w:line="240" w:lineRule="auto"/>
      </w:pPr>
      <w:r>
        <w:separator/>
      </w:r>
    </w:p>
  </w:endnote>
  <w:endnote w:type="continuationSeparator" w:id="0">
    <w:p w14:paraId="65097485" w14:textId="77777777" w:rsidR="00F35C4C" w:rsidRDefault="00F3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5611" w14:textId="77777777" w:rsidR="00534A90" w:rsidRDefault="00534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B994" w14:textId="77777777" w:rsidR="00534A90" w:rsidRDefault="00534A90">
    <w:pPr>
      <w:pStyle w:val="Footer"/>
    </w:pPr>
  </w:p>
  <w:tbl>
    <w:tblPr>
      <w:tblStyle w:val="TableGrid"/>
      <w:tblW w:w="9242" w:type="dxa"/>
      <w:tblLayout w:type="fixed"/>
      <w:tblLook w:val="04A0" w:firstRow="1" w:lastRow="0" w:firstColumn="1" w:lastColumn="0" w:noHBand="0" w:noVBand="1"/>
    </w:tblPr>
    <w:tblGrid>
      <w:gridCol w:w="3340"/>
      <w:gridCol w:w="3061"/>
      <w:gridCol w:w="2841"/>
    </w:tblGrid>
    <w:tr w:rsidR="00534A90" w14:paraId="76E63B79" w14:textId="77777777">
      <w:trPr>
        <w:trHeight w:val="300"/>
      </w:trPr>
      <w:tc>
        <w:tcPr>
          <w:tcW w:w="3340" w:type="dxa"/>
        </w:tcPr>
        <w:p w14:paraId="3C6E5196" w14:textId="77777777" w:rsidR="00534A90" w:rsidRDefault="008315F3">
          <w:pPr>
            <w:pStyle w:val="Footer"/>
            <w:rPr>
              <w:rFonts w:ascii="Calibri" w:eastAsia="Calibri" w:hAnsi="Calibri"/>
            </w:rPr>
          </w:pPr>
          <w:r>
            <w:rPr>
              <w:rFonts w:eastAsia="Calibri"/>
            </w:rPr>
            <w:t>Title: Repeat prescribing policy</w:t>
          </w:r>
        </w:p>
      </w:tc>
      <w:tc>
        <w:tcPr>
          <w:tcW w:w="3061" w:type="dxa"/>
        </w:tcPr>
        <w:p w14:paraId="6F3CB3C4" w14:textId="77777777" w:rsidR="00534A90" w:rsidRDefault="008315F3">
          <w:pPr>
            <w:pStyle w:val="Footer"/>
            <w:rPr>
              <w:rFonts w:ascii="Calibri" w:eastAsia="Calibri" w:hAnsi="Calibri"/>
            </w:rPr>
          </w:pPr>
          <w:r>
            <w:rPr>
              <w:rFonts w:eastAsia="Calibri"/>
            </w:rPr>
            <w:t>Date Approved: 11/12/25</w:t>
          </w:r>
        </w:p>
      </w:tc>
      <w:tc>
        <w:tcPr>
          <w:tcW w:w="2841" w:type="dxa"/>
        </w:tcPr>
        <w:p w14:paraId="06C962F6" w14:textId="77777777" w:rsidR="00534A90" w:rsidRDefault="008315F3">
          <w:pPr>
            <w:pStyle w:val="Footer"/>
            <w:rPr>
              <w:rFonts w:ascii="Calibri" w:eastAsia="Calibri" w:hAnsi="Calibri"/>
            </w:rPr>
          </w:pPr>
          <w:r>
            <w:rPr>
              <w:rFonts w:eastAsia="Calibri"/>
            </w:rPr>
            <w:t>Date for Review: 11/12/2028</w:t>
          </w:r>
        </w:p>
      </w:tc>
    </w:tr>
    <w:tr w:rsidR="00534A90" w14:paraId="13F7D4E8" w14:textId="77777777">
      <w:trPr>
        <w:trHeight w:val="300"/>
      </w:trPr>
      <w:tc>
        <w:tcPr>
          <w:tcW w:w="3340" w:type="dxa"/>
        </w:tcPr>
        <w:p w14:paraId="7984956D" w14:textId="77777777" w:rsidR="00534A90" w:rsidRDefault="008315F3">
          <w:pPr>
            <w:pStyle w:val="Footer"/>
            <w:rPr>
              <w:rFonts w:ascii="Calibri" w:eastAsia="Calibri" w:hAnsi="Calibri"/>
            </w:rPr>
          </w:pPr>
          <w:r>
            <w:rPr>
              <w:rFonts w:eastAsia="Calibri"/>
            </w:rPr>
            <w:t>Version: 2</w:t>
          </w:r>
        </w:p>
      </w:tc>
      <w:tc>
        <w:tcPr>
          <w:tcW w:w="3061" w:type="dxa"/>
        </w:tcPr>
        <w:p w14:paraId="6E657C31" w14:textId="77777777" w:rsidR="00534A90" w:rsidRDefault="008315F3">
          <w:pPr>
            <w:pStyle w:val="Footer"/>
            <w:rPr>
              <w:rFonts w:ascii="Calibri" w:eastAsia="Calibri" w:hAnsi="Calibri"/>
            </w:rPr>
          </w:pPr>
          <w:r>
            <w:rPr>
              <w:rFonts w:eastAsia="Calibri"/>
            </w:rPr>
            <w:t>Approved by: NT</w:t>
          </w:r>
        </w:p>
      </w:tc>
      <w:tc>
        <w:tcPr>
          <w:tcW w:w="2841" w:type="dxa"/>
        </w:tcPr>
        <w:p w14:paraId="465A5EE8" w14:textId="77777777" w:rsidR="00534A90" w:rsidRDefault="008315F3">
          <w:pPr>
            <w:pStyle w:val="Footer"/>
            <w:rPr>
              <w:rFonts w:ascii="Calibri" w:eastAsia="Calibri" w:hAnsi="Calibri"/>
            </w:rPr>
          </w:pPr>
          <w:r>
            <w:rPr>
              <w:rFonts w:eastAsia="Calibri"/>
            </w:rPr>
            <w:t>Signature:</w:t>
          </w:r>
        </w:p>
      </w:tc>
    </w:tr>
    <w:tr w:rsidR="00534A90" w14:paraId="65A057A9" w14:textId="77777777">
      <w:trPr>
        <w:trHeight w:val="300"/>
      </w:trPr>
      <w:tc>
        <w:tcPr>
          <w:tcW w:w="3340" w:type="dxa"/>
        </w:tcPr>
        <w:p w14:paraId="25AF8DF7" w14:textId="77777777" w:rsidR="00534A90" w:rsidRDefault="008315F3">
          <w:pPr>
            <w:pStyle w:val="Footer"/>
            <w:rPr>
              <w:rFonts w:ascii="Calibri" w:eastAsia="Calibri" w:hAnsi="Calibri"/>
            </w:rPr>
          </w:pPr>
          <w:r>
            <w:rPr>
              <w:rFonts w:eastAsia="Calibri"/>
            </w:rPr>
            <w:t>Prepared by: NT</w:t>
          </w:r>
        </w:p>
      </w:tc>
      <w:tc>
        <w:tcPr>
          <w:tcW w:w="3061" w:type="dxa"/>
        </w:tcPr>
        <w:p w14:paraId="5AE613B9" w14:textId="77777777" w:rsidR="00534A90" w:rsidRDefault="008315F3">
          <w:pPr>
            <w:pStyle w:val="Footer"/>
            <w:rPr>
              <w:rFonts w:ascii="Calibri" w:eastAsia="Calibri" w:hAnsi="Calibri"/>
            </w:rPr>
          </w:pPr>
          <w:r>
            <w:rPr>
              <w:rFonts w:eastAsia="Calibri"/>
            </w:rPr>
            <w:t>Designation: CD</w:t>
          </w:r>
        </w:p>
      </w:tc>
      <w:tc>
        <w:tcPr>
          <w:tcW w:w="2841" w:type="dxa"/>
        </w:tcPr>
        <w:p w14:paraId="478F75A0" w14:textId="77777777" w:rsidR="00534A90" w:rsidRDefault="00534A90">
          <w:pPr>
            <w:pStyle w:val="Footer"/>
            <w:rPr>
              <w:rFonts w:ascii="Calibri" w:eastAsia="Calibri" w:hAnsi="Calibri"/>
            </w:rPr>
          </w:pPr>
        </w:p>
      </w:tc>
    </w:tr>
  </w:tbl>
  <w:p w14:paraId="534FD4BF" w14:textId="77777777" w:rsidR="00534A90" w:rsidRDefault="00534A90">
    <w:pPr>
      <w:pStyle w:val="Footer"/>
    </w:pPr>
  </w:p>
  <w:p w14:paraId="38A181DF" w14:textId="77777777" w:rsidR="00534A90" w:rsidRDefault="00534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6A2" w14:textId="77777777" w:rsidR="00534A90" w:rsidRDefault="00534A90">
    <w:pPr>
      <w:pStyle w:val="Footer"/>
    </w:pPr>
  </w:p>
  <w:tbl>
    <w:tblPr>
      <w:tblStyle w:val="TableGrid"/>
      <w:tblW w:w="9242" w:type="dxa"/>
      <w:tblLayout w:type="fixed"/>
      <w:tblLook w:val="04A0" w:firstRow="1" w:lastRow="0" w:firstColumn="1" w:lastColumn="0" w:noHBand="0" w:noVBand="1"/>
    </w:tblPr>
    <w:tblGrid>
      <w:gridCol w:w="3340"/>
      <w:gridCol w:w="3061"/>
      <w:gridCol w:w="2841"/>
    </w:tblGrid>
    <w:tr w:rsidR="00534A90" w14:paraId="7F7FEC7B" w14:textId="77777777">
      <w:trPr>
        <w:trHeight w:val="300"/>
      </w:trPr>
      <w:tc>
        <w:tcPr>
          <w:tcW w:w="3340" w:type="dxa"/>
        </w:tcPr>
        <w:p w14:paraId="56736A4E" w14:textId="77777777" w:rsidR="00534A90" w:rsidRDefault="008315F3">
          <w:pPr>
            <w:pStyle w:val="Footer"/>
            <w:rPr>
              <w:rFonts w:ascii="Calibri" w:eastAsia="Calibri" w:hAnsi="Calibri"/>
            </w:rPr>
          </w:pPr>
          <w:r>
            <w:rPr>
              <w:rFonts w:eastAsia="Calibri"/>
            </w:rPr>
            <w:t>Title: Repeat prescribing policy</w:t>
          </w:r>
        </w:p>
      </w:tc>
      <w:tc>
        <w:tcPr>
          <w:tcW w:w="3061" w:type="dxa"/>
        </w:tcPr>
        <w:p w14:paraId="24C209EE" w14:textId="77777777" w:rsidR="00534A90" w:rsidRDefault="008315F3">
          <w:pPr>
            <w:pStyle w:val="Footer"/>
            <w:rPr>
              <w:rFonts w:ascii="Calibri" w:eastAsia="Calibri" w:hAnsi="Calibri"/>
            </w:rPr>
          </w:pPr>
          <w:r>
            <w:rPr>
              <w:rFonts w:eastAsia="Calibri"/>
            </w:rPr>
            <w:t>Date Approved: 11/12/25</w:t>
          </w:r>
        </w:p>
      </w:tc>
      <w:tc>
        <w:tcPr>
          <w:tcW w:w="2841" w:type="dxa"/>
        </w:tcPr>
        <w:p w14:paraId="4303AFE6" w14:textId="77777777" w:rsidR="00534A90" w:rsidRDefault="008315F3">
          <w:pPr>
            <w:pStyle w:val="Footer"/>
            <w:rPr>
              <w:rFonts w:ascii="Calibri" w:eastAsia="Calibri" w:hAnsi="Calibri"/>
            </w:rPr>
          </w:pPr>
          <w:r>
            <w:rPr>
              <w:rFonts w:eastAsia="Calibri"/>
            </w:rPr>
            <w:t>Date for Review: 11/12/2028</w:t>
          </w:r>
        </w:p>
      </w:tc>
    </w:tr>
    <w:tr w:rsidR="00534A90" w14:paraId="0C2A17CB" w14:textId="77777777">
      <w:trPr>
        <w:trHeight w:val="300"/>
      </w:trPr>
      <w:tc>
        <w:tcPr>
          <w:tcW w:w="3340" w:type="dxa"/>
        </w:tcPr>
        <w:p w14:paraId="69A03A65" w14:textId="77777777" w:rsidR="00534A90" w:rsidRDefault="008315F3">
          <w:pPr>
            <w:pStyle w:val="Footer"/>
            <w:rPr>
              <w:rFonts w:ascii="Calibri" w:eastAsia="Calibri" w:hAnsi="Calibri"/>
            </w:rPr>
          </w:pPr>
          <w:r>
            <w:rPr>
              <w:rFonts w:eastAsia="Calibri"/>
            </w:rPr>
            <w:t>Version: 2</w:t>
          </w:r>
        </w:p>
      </w:tc>
      <w:tc>
        <w:tcPr>
          <w:tcW w:w="3061" w:type="dxa"/>
        </w:tcPr>
        <w:p w14:paraId="42ED1D84" w14:textId="77777777" w:rsidR="00534A90" w:rsidRDefault="008315F3">
          <w:pPr>
            <w:pStyle w:val="Footer"/>
            <w:rPr>
              <w:rFonts w:ascii="Calibri" w:eastAsia="Calibri" w:hAnsi="Calibri"/>
            </w:rPr>
          </w:pPr>
          <w:r>
            <w:rPr>
              <w:rFonts w:eastAsia="Calibri"/>
            </w:rPr>
            <w:t>Approved by: NT</w:t>
          </w:r>
        </w:p>
      </w:tc>
      <w:tc>
        <w:tcPr>
          <w:tcW w:w="2841" w:type="dxa"/>
        </w:tcPr>
        <w:p w14:paraId="1D922F37" w14:textId="77777777" w:rsidR="00534A90" w:rsidRDefault="008315F3">
          <w:pPr>
            <w:pStyle w:val="Footer"/>
            <w:rPr>
              <w:rFonts w:ascii="Calibri" w:eastAsia="Calibri" w:hAnsi="Calibri"/>
            </w:rPr>
          </w:pPr>
          <w:r>
            <w:rPr>
              <w:rFonts w:eastAsia="Calibri"/>
            </w:rPr>
            <w:t>Signature:</w:t>
          </w:r>
        </w:p>
      </w:tc>
    </w:tr>
    <w:tr w:rsidR="00534A90" w14:paraId="65A6126B" w14:textId="77777777">
      <w:trPr>
        <w:trHeight w:val="300"/>
      </w:trPr>
      <w:tc>
        <w:tcPr>
          <w:tcW w:w="3340" w:type="dxa"/>
        </w:tcPr>
        <w:p w14:paraId="45DF6CCF" w14:textId="77777777" w:rsidR="00534A90" w:rsidRDefault="008315F3">
          <w:pPr>
            <w:pStyle w:val="Footer"/>
            <w:rPr>
              <w:rFonts w:ascii="Calibri" w:eastAsia="Calibri" w:hAnsi="Calibri"/>
            </w:rPr>
          </w:pPr>
          <w:r>
            <w:rPr>
              <w:rFonts w:eastAsia="Calibri"/>
            </w:rPr>
            <w:t>Prepared by: NT</w:t>
          </w:r>
        </w:p>
      </w:tc>
      <w:tc>
        <w:tcPr>
          <w:tcW w:w="3061" w:type="dxa"/>
        </w:tcPr>
        <w:p w14:paraId="275E2588" w14:textId="77777777" w:rsidR="00534A90" w:rsidRDefault="008315F3">
          <w:pPr>
            <w:pStyle w:val="Footer"/>
            <w:rPr>
              <w:rFonts w:ascii="Calibri" w:eastAsia="Calibri" w:hAnsi="Calibri"/>
            </w:rPr>
          </w:pPr>
          <w:r>
            <w:rPr>
              <w:rFonts w:eastAsia="Calibri"/>
            </w:rPr>
            <w:t>Designation: CD</w:t>
          </w:r>
        </w:p>
      </w:tc>
      <w:tc>
        <w:tcPr>
          <w:tcW w:w="2841" w:type="dxa"/>
        </w:tcPr>
        <w:p w14:paraId="61D28E33" w14:textId="77777777" w:rsidR="00534A90" w:rsidRDefault="00534A90">
          <w:pPr>
            <w:pStyle w:val="Footer"/>
            <w:rPr>
              <w:rFonts w:ascii="Calibri" w:eastAsia="Calibri" w:hAnsi="Calibri"/>
            </w:rPr>
          </w:pPr>
        </w:p>
      </w:tc>
    </w:tr>
  </w:tbl>
  <w:p w14:paraId="2F1D6F2F" w14:textId="77777777" w:rsidR="00534A90" w:rsidRDefault="00534A90">
    <w:pPr>
      <w:pStyle w:val="Footer"/>
    </w:pPr>
  </w:p>
  <w:p w14:paraId="173F2F86" w14:textId="77777777" w:rsidR="00534A90" w:rsidRDefault="00534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7D65" w14:textId="77777777" w:rsidR="00F35C4C" w:rsidRDefault="00F35C4C">
      <w:pPr>
        <w:spacing w:after="0" w:line="240" w:lineRule="auto"/>
      </w:pPr>
      <w:r>
        <w:separator/>
      </w:r>
    </w:p>
  </w:footnote>
  <w:footnote w:type="continuationSeparator" w:id="0">
    <w:p w14:paraId="6061E1F3" w14:textId="77777777" w:rsidR="00F35C4C" w:rsidRDefault="00F35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0374"/>
    <w:multiLevelType w:val="multilevel"/>
    <w:tmpl w:val="623E4BC4"/>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o"/>
      <w:lvlJc w:val="left"/>
      <w:pPr>
        <w:tabs>
          <w:tab w:val="num" w:pos="0"/>
        </w:tabs>
        <w:ind w:left="2443" w:hanging="360"/>
      </w:pPr>
      <w:rPr>
        <w:rFonts w:ascii="Courier New" w:hAnsi="Courier New" w:cs="Courier New"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1" w15:restartNumberingAfterBreak="0">
    <w:nsid w:val="0FB67C39"/>
    <w:multiLevelType w:val="multilevel"/>
    <w:tmpl w:val="BE2E87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A031E5"/>
    <w:multiLevelType w:val="multilevel"/>
    <w:tmpl w:val="F3CEB076"/>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Symbol" w:hAnsi="Symbol" w:cs="Symbol"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3" w15:restartNumberingAfterBreak="0">
    <w:nsid w:val="49C14392"/>
    <w:multiLevelType w:val="hybridMultilevel"/>
    <w:tmpl w:val="DAD01C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77174987">
    <w:abstractNumId w:val="2"/>
  </w:num>
  <w:num w:numId="2" w16cid:durableId="680860287">
    <w:abstractNumId w:val="0"/>
  </w:num>
  <w:num w:numId="3" w16cid:durableId="1109738785">
    <w:abstractNumId w:val="1"/>
  </w:num>
  <w:num w:numId="4" w16cid:durableId="627515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A90"/>
    <w:rsid w:val="00025D75"/>
    <w:rsid w:val="00027D91"/>
    <w:rsid w:val="001954F7"/>
    <w:rsid w:val="002B3E7E"/>
    <w:rsid w:val="00534A90"/>
    <w:rsid w:val="005F2504"/>
    <w:rsid w:val="008315F3"/>
    <w:rsid w:val="00F35C4C"/>
    <w:rsid w:val="00FC4731"/>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C149"/>
  <w15:docId w15:val="{E8A7FE1C-2FEE-431D-AA2E-98E46D57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C2EC0"/>
    <w:rPr>
      <w:rFonts w:ascii="Tahoma" w:hAnsi="Tahoma" w:cs="Tahoma"/>
      <w:sz w:val="16"/>
      <w:szCs w:val="16"/>
    </w:rPr>
  </w:style>
  <w:style w:type="character" w:styleId="Strong">
    <w:name w:val="Strong"/>
    <w:basedOn w:val="DefaultParagraphFont"/>
    <w:uiPriority w:val="22"/>
    <w:qFormat/>
    <w:rsid w:val="008C2EC0"/>
    <w:rPr>
      <w:b/>
      <w:bCs/>
    </w:rPr>
  </w:style>
  <w:style w:type="character" w:customStyle="1" w:styleId="HeaderChar">
    <w:name w:val="Header Char"/>
    <w:basedOn w:val="DefaultParagraphFont"/>
    <w:link w:val="Header"/>
    <w:uiPriority w:val="99"/>
    <w:qFormat/>
    <w:rsid w:val="008C2EC0"/>
  </w:style>
  <w:style w:type="character" w:customStyle="1" w:styleId="FooterChar">
    <w:name w:val="Footer Char"/>
    <w:basedOn w:val="DefaultParagraphFont"/>
    <w:link w:val="Footer"/>
    <w:uiPriority w:val="99"/>
    <w:qFormat/>
    <w:rsid w:val="008C2EC0"/>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8C2EC0"/>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8C2EC0"/>
    <w:pPr>
      <w:spacing w:beforeAutospacing="1" w:afterAutospacing="1" w:line="240" w:lineRule="auto"/>
    </w:pPr>
    <w:rPr>
      <w:rFonts w:ascii="Times New Roman" w:eastAsia="Times New Roman" w:hAnsi="Times New Roman" w:cs="Times New Roman"/>
      <w:sz w:val="24"/>
      <w:szCs w:val="24"/>
      <w:lang w:eastAsia="en-NZ"/>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C2EC0"/>
    <w:pPr>
      <w:tabs>
        <w:tab w:val="center" w:pos="4513"/>
        <w:tab w:val="right" w:pos="9026"/>
      </w:tabs>
      <w:spacing w:after="0" w:line="240" w:lineRule="auto"/>
    </w:pPr>
  </w:style>
  <w:style w:type="paragraph" w:styleId="Footer">
    <w:name w:val="footer"/>
    <w:basedOn w:val="Normal"/>
    <w:link w:val="FooterChar"/>
    <w:uiPriority w:val="99"/>
    <w:unhideWhenUsed/>
    <w:rsid w:val="008C2EC0"/>
    <w:pPr>
      <w:tabs>
        <w:tab w:val="center" w:pos="4513"/>
        <w:tab w:val="right" w:pos="9026"/>
      </w:tabs>
      <w:spacing w:after="0" w:line="240" w:lineRule="auto"/>
    </w:pPr>
  </w:style>
  <w:style w:type="paragraph" w:styleId="ListParagraph">
    <w:name w:val="List Paragraph"/>
    <w:basedOn w:val="Normal"/>
    <w:uiPriority w:val="34"/>
    <w:qFormat/>
    <w:rsid w:val="005978E4"/>
    <w:pPr>
      <w:spacing w:after="0" w:line="240" w:lineRule="auto"/>
      <w:ind w:left="720"/>
      <w:contextualSpacing/>
    </w:pPr>
    <w:rPr>
      <w:rFonts w:ascii="Arial" w:eastAsia="Times New Roman" w:hAnsi="Arial" w:cs="Times New Roman"/>
      <w:bCs/>
      <w:sz w:val="20"/>
      <w:szCs w:val="24"/>
    </w:rPr>
  </w:style>
  <w:style w:type="table" w:styleId="TableGrid">
    <w:name w:val="Table Grid"/>
    <w:basedOn w:val="TableNormal"/>
    <w:uiPriority w:val="59"/>
    <w:rsid w:val="008C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921</Words>
  <Characters>4838</Characters>
  <Application>Microsoft Office Word</Application>
  <DocSecurity>0</DocSecurity>
  <Lines>89</Lines>
  <Paragraphs>55</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 1</dc:creator>
  <dc:description/>
  <cp:lastModifiedBy>Rene Wilson</cp:lastModifiedBy>
  <cp:revision>12</cp:revision>
  <cp:lastPrinted>2025-12-17T02:08:00Z</cp:lastPrinted>
  <dcterms:created xsi:type="dcterms:W3CDTF">2023-06-30T01:09:00Z</dcterms:created>
  <dcterms:modified xsi:type="dcterms:W3CDTF">2026-01-13T01:23:00Z</dcterms:modified>
  <dc:language>en-NZ</dc:language>
</cp:coreProperties>
</file>