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CE86" w14:textId="77777777" w:rsidR="005F40B7" w:rsidRDefault="005F40B7" w:rsidP="005F40B7">
      <w:pPr>
        <w:spacing w:line="390" w:lineRule="exact"/>
        <w:textAlignment w:val="center"/>
        <w:rPr>
          <w:rFonts w:ascii="Open Sans" w:hAnsi="Open Sans" w:cs="Open Sans"/>
          <w:color w:val="000000"/>
          <w:position w:val="17"/>
          <w:sz w:val="26"/>
          <w:szCs w:val="26"/>
        </w:rPr>
      </w:pPr>
      <w:r>
        <w:rPr>
          <w:rStyle w:val="Strong"/>
          <w:rFonts w:ascii="Open Sans" w:hAnsi="Open Sans" w:cs="Open Sans"/>
          <w:color w:val="000000"/>
          <w:position w:val="17"/>
          <w:sz w:val="26"/>
          <w:szCs w:val="26"/>
        </w:rPr>
        <w:t>Top-line messages</w:t>
      </w:r>
    </w:p>
    <w:p w14:paraId="5139D90C" w14:textId="77777777" w:rsidR="005F40B7" w:rsidRPr="005F40B7" w:rsidRDefault="005F40B7" w:rsidP="005F40B7">
      <w:pPr>
        <w:pStyle w:val="size-131"/>
        <w:spacing w:before="240" w:beforeAutospacing="0" w:after="0" w:afterAutospacing="0" w:line="315" w:lineRule="exact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From 1 March, a new Pfizer COVID-19 bivalent vaccine will be available to eligible New Zealanders as a booster dose.</w:t>
      </w:r>
    </w:p>
    <w:p w14:paraId="3348908E" w14:textId="77777777" w:rsidR="005F40B7" w:rsidRPr="005F40B7" w:rsidRDefault="005F40B7" w:rsidP="005F40B7">
      <w:pPr>
        <w:pStyle w:val="size-131"/>
        <w:numPr>
          <w:ilvl w:val="0"/>
          <w:numId w:val="2"/>
        </w:numPr>
        <w:spacing w:before="300" w:beforeAutospacing="0" w:after="0" w:afterAutospacing="0" w:line="315" w:lineRule="exact"/>
        <w:ind w:left="426" w:hanging="426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This will replace the existing Pfizer booster and is considered likely to be more effective against Omicron subvariants than earlier vaccines.</w:t>
      </w:r>
    </w:p>
    <w:p w14:paraId="01DE6058" w14:textId="77777777" w:rsidR="005F40B7" w:rsidRPr="005F40B7" w:rsidRDefault="005F40B7" w:rsidP="005F40B7">
      <w:pPr>
        <w:pStyle w:val="size-131"/>
        <w:numPr>
          <w:ilvl w:val="0"/>
          <w:numId w:val="2"/>
        </w:numPr>
        <w:spacing w:before="0" w:beforeAutospacing="0" w:after="0" w:afterAutospacing="0" w:line="315" w:lineRule="exact"/>
        <w:ind w:left="426" w:hanging="426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1.9 million New Zealanders are currently eligible for a first or second booster and will be able to get the bivalent vaccine from 1 March. They will get a significant pre-winter boost to their protection from severe illness, </w:t>
      </w:r>
      <w:proofErr w:type="gramStart"/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hospitalisation</w:t>
      </w:r>
      <w:proofErr w:type="gramEnd"/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 and death from COVID-19. </w:t>
      </w:r>
    </w:p>
    <w:p w14:paraId="4B22D1C1" w14:textId="77777777" w:rsidR="005F40B7" w:rsidRPr="005F40B7" w:rsidRDefault="005F40B7" w:rsidP="005F40B7">
      <w:pPr>
        <w:pStyle w:val="size-131"/>
        <w:numPr>
          <w:ilvl w:val="0"/>
          <w:numId w:val="2"/>
        </w:numPr>
        <w:spacing w:before="0" w:beforeAutospacing="0" w:after="0" w:afterAutospacing="0" w:line="315" w:lineRule="exact"/>
        <w:ind w:left="426" w:hanging="426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We encourage them to take this opportunity in March by visiting </w:t>
      </w:r>
      <w:hyperlink r:id="rId5" w:history="1">
        <w:r w:rsidRPr="005F40B7">
          <w:rPr>
            <w:rStyle w:val="Hyperlink"/>
            <w:rFonts w:asciiTheme="minorHAnsi" w:hAnsiTheme="minorHAnsi" w:cstheme="minorHAnsi"/>
            <w:color w:val="002E6E"/>
            <w:position w:val="17"/>
            <w:sz w:val="24"/>
            <w:szCs w:val="24"/>
          </w:rPr>
          <w:t>www.BookMyVaccine.nz</w:t>
        </w:r>
      </w:hyperlink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 or calling the COVID Vaccination Healthline on 0800 28 29 26 (8am to 8pm, 7 days a week).</w:t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br/>
        <w:t> </w:t>
      </w:r>
    </w:p>
    <w:p w14:paraId="11D5C564" w14:textId="77777777" w:rsidR="005F40B7" w:rsidRPr="005F40B7" w:rsidRDefault="005F40B7" w:rsidP="005F40B7">
      <w:pPr>
        <w:pStyle w:val="size-131"/>
        <w:spacing w:before="0" w:beforeAutospacing="0" w:after="0" w:afterAutospacing="0" w:line="315" w:lineRule="exact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From 1 April, an additional booster dose will be made available to:</w:t>
      </w:r>
    </w:p>
    <w:p w14:paraId="51024380" w14:textId="77777777" w:rsidR="005F40B7" w:rsidRPr="005F40B7" w:rsidRDefault="005F40B7" w:rsidP="005F40B7">
      <w:pPr>
        <w:pStyle w:val="size-131"/>
        <w:numPr>
          <w:ilvl w:val="0"/>
          <w:numId w:val="3"/>
        </w:numPr>
        <w:spacing w:before="240" w:beforeAutospacing="0" w:after="0" w:afterAutospacing="0" w:line="315" w:lineRule="exact"/>
        <w:ind w:left="426" w:hanging="426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anyone aged 30 and over who has completed a primary course, </w:t>
      </w:r>
      <w:proofErr w:type="gramStart"/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as long as</w:t>
      </w:r>
      <w:proofErr w:type="gramEnd"/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 it’s been at least 6 months since their last COVID-19 booster or positive COVID-19 test. </w:t>
      </w:r>
    </w:p>
    <w:p w14:paraId="5EE46BDA" w14:textId="77777777" w:rsidR="005F40B7" w:rsidRPr="005F40B7" w:rsidRDefault="005F40B7" w:rsidP="005F40B7">
      <w:pPr>
        <w:pStyle w:val="size-131"/>
        <w:numPr>
          <w:ilvl w:val="0"/>
          <w:numId w:val="3"/>
        </w:numPr>
        <w:spacing w:before="0" w:beforeAutospacing="0" w:after="0" w:afterAutospacing="0" w:line="315" w:lineRule="exact"/>
        <w:ind w:left="426" w:hanging="426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anyone </w:t>
      </w:r>
      <w:hyperlink r:id="rId6" w:history="1">
        <w:r w:rsidRPr="005F40B7">
          <w:rPr>
            <w:rStyle w:val="Hyperlink"/>
            <w:rFonts w:asciiTheme="minorHAnsi" w:hAnsiTheme="minorHAnsi" w:cstheme="minorHAnsi"/>
            <w:color w:val="002E6E"/>
            <w:position w:val="17"/>
            <w:sz w:val="24"/>
            <w:szCs w:val="24"/>
          </w:rPr>
          <w:t>at increased risk of severe illness from COVID-19</w:t>
        </w:r>
      </w:hyperlink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 who has completed a primary course, as long as it’s been at least 6 months since their last COVID-19 booster or positive COVID-19 test. These high-risk groups include:</w:t>
      </w:r>
    </w:p>
    <w:p w14:paraId="7C0A68AD" w14:textId="79B80D3C" w:rsidR="005F40B7" w:rsidRPr="005F40B7" w:rsidRDefault="005F40B7" w:rsidP="005F40B7">
      <w:pPr>
        <w:pStyle w:val="size-131"/>
        <w:spacing w:before="0" w:beforeAutospacing="0" w:after="0" w:afterAutospacing="0" w:line="315" w:lineRule="exact"/>
        <w:ind w:left="851" w:hanging="425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-  </w:t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ab/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people aged 65 years and over</w:t>
      </w:r>
    </w:p>
    <w:p w14:paraId="365EB6ED" w14:textId="24E09E80" w:rsidR="005F40B7" w:rsidRPr="005F40B7" w:rsidRDefault="005F40B7" w:rsidP="005F40B7">
      <w:pPr>
        <w:pStyle w:val="size-131"/>
        <w:spacing w:before="0" w:beforeAutospacing="0" w:after="0" w:afterAutospacing="0" w:line="315" w:lineRule="exact"/>
        <w:ind w:left="851" w:hanging="425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- </w:t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ab/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Māori and Pacific peoples aged 50 years and over</w:t>
      </w:r>
    </w:p>
    <w:p w14:paraId="6A9C6229" w14:textId="582D56F6" w:rsidR="005F40B7" w:rsidRPr="005F40B7" w:rsidRDefault="005F40B7" w:rsidP="005F40B7">
      <w:pPr>
        <w:pStyle w:val="size-131"/>
        <w:spacing w:before="0" w:beforeAutospacing="0" w:after="0" w:afterAutospacing="0" w:line="315" w:lineRule="exact"/>
        <w:ind w:left="851" w:hanging="425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- </w:t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ab/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residents of aged care and disability care facilities</w:t>
      </w:r>
    </w:p>
    <w:p w14:paraId="0C6EA45A" w14:textId="5E6DF9A0" w:rsidR="005F40B7" w:rsidRPr="005F40B7" w:rsidRDefault="005F40B7" w:rsidP="005F40B7">
      <w:pPr>
        <w:pStyle w:val="size-131"/>
        <w:spacing w:before="0" w:beforeAutospacing="0" w:after="0" w:afterAutospacing="0" w:line="315" w:lineRule="exact"/>
        <w:ind w:left="851" w:hanging="425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- </w:t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ab/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severely immunocompromised people</w:t>
      </w:r>
    </w:p>
    <w:p w14:paraId="0BA3C1ED" w14:textId="3C0E5C4C" w:rsidR="005F40B7" w:rsidRPr="005F40B7" w:rsidRDefault="005F40B7" w:rsidP="005F40B7">
      <w:pPr>
        <w:pStyle w:val="size-131"/>
        <w:spacing w:before="0" w:beforeAutospacing="0" w:after="0" w:afterAutospacing="0" w:line="315" w:lineRule="exact"/>
        <w:ind w:left="851" w:hanging="425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- </w:t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ab/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people aged 16 years and over who have a medical condition that increases the risk of severe breakthrough COVID-19 illness</w:t>
      </w:r>
    </w:p>
    <w:p w14:paraId="2453618A" w14:textId="0DF79C0A" w:rsidR="005F40B7" w:rsidRPr="005F40B7" w:rsidRDefault="005F40B7" w:rsidP="005F40B7">
      <w:pPr>
        <w:pStyle w:val="size-131"/>
        <w:spacing w:before="0" w:beforeAutospacing="0" w:after="0" w:afterAutospacing="0" w:line="315" w:lineRule="exact"/>
        <w:ind w:left="851" w:hanging="425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- </w:t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ab/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people aged 16 years and over who live with disability with significant or complex health needs or multiple comorbidities.</w:t>
      </w:r>
    </w:p>
    <w:p w14:paraId="2DD1A6B4" w14:textId="3A221347" w:rsidR="005F40B7" w:rsidRPr="005F40B7" w:rsidRDefault="005F40B7" w:rsidP="005F40B7">
      <w:pPr>
        <w:pStyle w:val="size-131"/>
        <w:spacing w:before="0" w:beforeAutospacing="0" w:after="0" w:afterAutospacing="0" w:line="315" w:lineRule="exact"/>
        <w:ind w:left="851" w:hanging="425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- </w:t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ab/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health, aged </w:t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care,</w:t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 and disability workers aged 30 years and over.</w:t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br/>
        <w:t> </w:t>
      </w:r>
    </w:p>
    <w:p w14:paraId="5EF50A60" w14:textId="08EBC745" w:rsidR="005F40B7" w:rsidRPr="005F40B7" w:rsidRDefault="005F40B7" w:rsidP="005F40B7">
      <w:pPr>
        <w:pStyle w:val="size-131"/>
        <w:spacing w:before="0" w:beforeAutospacing="0" w:after="0" w:afterAutospacing="0" w:line="315" w:lineRule="exact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1 April is also the start of flu vaccination for 2023. We encourage everyone who is eligible to get their COVID-19 booster and flu vaccination to ensure that they are protected ahead of winter.</w:t>
      </w:r>
    </w:p>
    <w:p w14:paraId="58485D09" w14:textId="77777777" w:rsidR="005F40B7" w:rsidRPr="005F40B7" w:rsidRDefault="005F40B7" w:rsidP="005F40B7">
      <w:pPr>
        <w:pStyle w:val="size-131"/>
        <w:spacing w:before="0" w:beforeAutospacing="0" w:after="0" w:afterAutospacing="0" w:line="315" w:lineRule="exact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</w:p>
    <w:p w14:paraId="154AB965" w14:textId="2320CF5C" w:rsidR="0080015B" w:rsidRPr="005F40B7" w:rsidRDefault="005F40B7" w:rsidP="005F40B7">
      <w:pPr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Staying up to date with the recommended COVID-19 vaccinations will continue to protect you from the risk of serious illness, </w:t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hospitalisation,</w:t>
      </w: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 xml:space="preserve"> or death from COVID-19.  This is particularly important as we approach the winter season.</w:t>
      </w:r>
    </w:p>
    <w:p w14:paraId="7E1D6ED6" w14:textId="6C37F69A" w:rsidR="0080015B" w:rsidRDefault="0080015B"/>
    <w:p w14:paraId="58C12076" w14:textId="77777777" w:rsidR="005F40B7" w:rsidRPr="005F40B7" w:rsidRDefault="005F40B7" w:rsidP="005F40B7">
      <w:pPr>
        <w:spacing w:line="390" w:lineRule="exact"/>
        <w:textAlignment w:val="center"/>
        <w:rPr>
          <w:rFonts w:asciiTheme="minorHAnsi" w:hAnsiTheme="minorHAnsi" w:cstheme="minorHAnsi"/>
          <w:color w:val="000000"/>
          <w:position w:val="17"/>
          <w:sz w:val="26"/>
          <w:szCs w:val="26"/>
        </w:rPr>
      </w:pPr>
      <w:r w:rsidRPr="005F40B7">
        <w:rPr>
          <w:rStyle w:val="Strong"/>
          <w:rFonts w:asciiTheme="minorHAnsi" w:hAnsiTheme="minorHAnsi" w:cstheme="minorHAnsi"/>
          <w:color w:val="000000"/>
          <w:position w:val="17"/>
          <w:sz w:val="26"/>
          <w:szCs w:val="26"/>
        </w:rPr>
        <w:t>Supporting messages</w:t>
      </w:r>
    </w:p>
    <w:p w14:paraId="04072138" w14:textId="77777777" w:rsidR="005F40B7" w:rsidRPr="005F40B7" w:rsidRDefault="005F40B7" w:rsidP="005F40B7">
      <w:pPr>
        <w:pStyle w:val="size-131"/>
        <w:numPr>
          <w:ilvl w:val="0"/>
          <w:numId w:val="4"/>
        </w:numPr>
        <w:spacing w:before="240" w:beforeAutospacing="0" w:after="0" w:afterAutospacing="0" w:line="315" w:lineRule="exact"/>
        <w:ind w:left="426" w:hanging="426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lastRenderedPageBreak/>
        <w:t>The BA.4/5 bivalent vaccine will replace the existing Pfizer COVID-19 vaccine for boosters. It will not replace the vaccines used for the primary vaccination course, which will continue to be the original Pfizer COVID-19 vaccine or the Novavax vaccine.</w:t>
      </w:r>
    </w:p>
    <w:p w14:paraId="2092065C" w14:textId="77777777" w:rsidR="005F40B7" w:rsidRPr="005F40B7" w:rsidRDefault="005F40B7" w:rsidP="005F40B7">
      <w:pPr>
        <w:pStyle w:val="size-131"/>
        <w:numPr>
          <w:ilvl w:val="0"/>
          <w:numId w:val="4"/>
        </w:numPr>
        <w:spacing w:before="0" w:beforeAutospacing="0" w:after="0" w:afterAutospacing="0" w:line="315" w:lineRule="exact"/>
        <w:ind w:left="426" w:hanging="426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The BA.4/5 bivalent vaccine causes the immune system to create antibodies against both the original variant of SARS-CoV-2 and Omicron subvariants and is therefore likely to provide better protection.</w:t>
      </w:r>
    </w:p>
    <w:p w14:paraId="1D0AC6EC" w14:textId="77777777" w:rsidR="005F40B7" w:rsidRPr="005F40B7" w:rsidRDefault="005F40B7" w:rsidP="005F40B7">
      <w:pPr>
        <w:pStyle w:val="size-131"/>
        <w:numPr>
          <w:ilvl w:val="0"/>
          <w:numId w:val="4"/>
        </w:numPr>
        <w:spacing w:before="0" w:beforeAutospacing="0" w:after="0" w:afterAutospacing="0" w:line="315" w:lineRule="exact"/>
        <w:ind w:left="426" w:hanging="426"/>
        <w:textAlignment w:val="center"/>
        <w:rPr>
          <w:rFonts w:asciiTheme="minorHAnsi" w:hAnsiTheme="minorHAnsi" w:cstheme="minorHAnsi"/>
          <w:color w:val="000000"/>
          <w:position w:val="17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The additional booster dose can only be administered to eligible people whose most recent COVID-19 vaccine or positive COVID-19 test was at least 6 months ago, irrespective of how many prior doses that person has received.</w:t>
      </w:r>
    </w:p>
    <w:p w14:paraId="39FC75E5" w14:textId="417E1ADC" w:rsidR="005F40B7" w:rsidRPr="005F40B7" w:rsidRDefault="005F40B7" w:rsidP="005F40B7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5F40B7">
        <w:rPr>
          <w:rFonts w:asciiTheme="minorHAnsi" w:hAnsiTheme="minorHAnsi" w:cstheme="minorHAnsi"/>
          <w:color w:val="000000"/>
          <w:position w:val="17"/>
          <w:sz w:val="24"/>
          <w:szCs w:val="24"/>
        </w:rPr>
        <w:t>The Ministry of Health will continue to review new information on COVID-19 and COVID-19 vaccines and will make further recommendations if necessary.</w:t>
      </w:r>
    </w:p>
    <w:sectPr w:rsidR="005F40B7" w:rsidRPr="005F4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194"/>
    <w:multiLevelType w:val="hybridMultilevel"/>
    <w:tmpl w:val="A15CE2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4580"/>
    <w:multiLevelType w:val="multilevel"/>
    <w:tmpl w:val="233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7435D"/>
    <w:multiLevelType w:val="multilevel"/>
    <w:tmpl w:val="1AC6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565467"/>
    <w:multiLevelType w:val="multilevel"/>
    <w:tmpl w:val="800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5B"/>
    <w:rsid w:val="00023F35"/>
    <w:rsid w:val="005F40B7"/>
    <w:rsid w:val="0080015B"/>
    <w:rsid w:val="00D0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9E10"/>
  <w15:chartTrackingRefBased/>
  <w15:docId w15:val="{4621F368-CB65-4108-8434-E1740C7B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0B7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01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015B"/>
  </w:style>
  <w:style w:type="character" w:styleId="Hyperlink">
    <w:name w:val="Hyperlink"/>
    <w:basedOn w:val="DefaultParagraphFont"/>
    <w:uiPriority w:val="99"/>
    <w:semiHidden/>
    <w:unhideWhenUsed/>
    <w:rsid w:val="005F40B7"/>
    <w:rPr>
      <w:color w:val="0000FF"/>
      <w:u w:val="single"/>
    </w:rPr>
  </w:style>
  <w:style w:type="paragraph" w:customStyle="1" w:styleId="size-131">
    <w:name w:val="size-131"/>
    <w:basedOn w:val="Normal"/>
    <w:rsid w:val="005F40B7"/>
    <w:pPr>
      <w:spacing w:before="100" w:beforeAutospacing="1" w:after="100" w:afterAutospacing="1" w:line="315" w:lineRule="atLeast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5F4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o-nationalimmunisationprogramme.cmail19.com/t/i-i-qhubil-l-y/" TargetMode="External"/><Relationship Id="rId5" Type="http://schemas.openxmlformats.org/officeDocument/2006/relationships/hyperlink" Target="https://two-nationalimmunisationprogramme.cmail19.com/t/i-i-qhubil-l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Thambiah</dc:creator>
  <cp:keywords/>
  <dc:description/>
  <cp:lastModifiedBy>Sandy Thambiah</cp:lastModifiedBy>
  <cp:revision>1</cp:revision>
  <dcterms:created xsi:type="dcterms:W3CDTF">2023-02-22T00:57:00Z</dcterms:created>
  <dcterms:modified xsi:type="dcterms:W3CDTF">2023-02-23T00:10:00Z</dcterms:modified>
</cp:coreProperties>
</file>